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A09A" w14:textId="6D8CE217"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32009565960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14:paraId="0179CE56" w14:textId="77777777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D632F3" w14:textId="77777777" w:rsidR="00834EC6" w:rsidRPr="003C207E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Кызыл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56D699E" w14:textId="41418386"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«21» октября 2020г.</w:t>
            </w:r>
          </w:p>
        </w:tc>
      </w:tr>
    </w:tbl>
    <w:p w14:paraId="036E2936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342FBCAF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"ТЫВАЭНЕРГО"</w:t>
      </w:r>
    </w:p>
    <w:p w14:paraId="266644AA" w14:textId="77777777"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14:paraId="569CB787" w14:textId="77777777"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434C5C4" w14:textId="6213E7AE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32009565960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14:paraId="5B169F9F" w14:textId="0DF66E82"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Поставка ГСМ (бензин, дизельное топливо) с. Хандагайты, для нужд АО "Тываэнерго" №20.2-11/3.2-0013</w:t>
      </w:r>
      <w:r>
        <w:rPr>
          <w:rFonts w:ascii="Times New Roman" w:hAnsi="Times New Roman" w:cs="Times New Roman"/>
          <w:sz w:val="24"/>
          <w:szCs w:val="24"/>
        </w:rPr>
        <w:t xml:space="preserve">, лот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Поставка ГСМ (бензин, дизтопливо) с. Хандагайты</w:t>
      </w:r>
    </w:p>
    <w:p w14:paraId="7745AD02" w14:textId="06252C06"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C207E">
        <w:rPr>
          <w:rFonts w:ascii="Times New Roman" w:hAnsi="Times New Roman" w:cs="Times New Roman"/>
          <w:sz w:val="24"/>
          <w:szCs w:val="24"/>
        </w:rPr>
        <w:t>228 203,16 RUB</w:t>
      </w:r>
    </w:p>
    <w:p w14:paraId="470B17FE" w14:textId="359F911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«09» октября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02EE" w14:textId="77777777" w:rsidR="00F75F9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C207E" w:rsidRPr="003C207E">
        <w:rPr>
          <w:rFonts w:ascii="Times New Roman" w:hAnsi="Times New Roman" w:cs="Times New Roman"/>
          <w:sz w:val="24"/>
          <w:szCs w:val="24"/>
        </w:rPr>
        <w:t>ПДКК (Распоряжение № 379 от 13.08.2020)</w:t>
      </w:r>
      <w:r>
        <w:rPr>
          <w:rFonts w:ascii="Times New Roman" w:hAnsi="Times New Roman" w:cs="Times New Roman"/>
          <w:sz w:val="24"/>
          <w:szCs w:val="24"/>
        </w:rPr>
        <w:t xml:space="preserve">), при вскрытии конвертов с заявками на участие в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F75F96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Grid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комиссии: Бочкарева Т.А.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комиссии: Агбан А.В.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Голосов В.В.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Крюков А.А.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Лоюк Д.В.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комиссии: Шиханов С.Н.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комиссии: 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2C01FAF3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«21» октября 2020г.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14:paraId="63050D6C" w14:textId="77777777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№ п/п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Предмет закупки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20.10.2020 15:34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Индивидуальный предприниматель ОНДАР ТИТОВ ЛААЕВИЧ
                <w:br/>
                ИНН/КПП 170800102802/Отсутствует
                <w:br/>
                ОГРН 307170914900028
                <w:br/>
                Юридический адрес: 
                <w:br/>
                000000, Российская Федерация, Р-Н ОВЮРСКИЙ, С ХАНДАГАЙТЫ, -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Поставка ГСМ (бензин, дизтопливо) с. Хандагайты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p w14:paraId="35D50F7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FB5D5A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14:paraId="71391484" w14:textId="77777777"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${applied_documents_table}</w:t>
      </w:r>
    </w:p>
    <w:p w14:paraId="4001FEF8" w14:textId="279F50D4" w:rsidR="00DF4445" w:rsidRPr="001150A2" w:rsidRDefault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A1151C" w14:textId="3CAF3AB0"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https://rosseti.roseltorg.ru/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4EC6" w14:paraId="253FD863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C2AA" w14:textId="77777777" w:rsidR="00834EC6" w:rsidRDefault="0001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14:paraId="1D5D25A2" w14:textId="77777777" w:rsidR="004B79DB" w:rsidRPr="00B26CCD" w:rsidRDefault="004B79DB" w:rsidP="004B79DB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bidiVisual w:val="0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Бочкарева Т.А.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Зам. председателя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Агбан А.В.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Голосов В.В.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Крюков А.А.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Лоюк Д.В.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Шиханов С.Н.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Власов В.В.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 </w:t>
      </w:r>
    </w:p>
    <w:sectPr w:rsidR="00016E54" w:rsidRPr="001150A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42470"/>
    <w:rsid w:val="00281AC4"/>
    <w:rsid w:val="00362E2C"/>
    <w:rsid w:val="003C207E"/>
    <w:rsid w:val="004B79DB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F4445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66C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16</cp:revision>
  <dcterms:created xsi:type="dcterms:W3CDTF">2017-10-19T08:56:00Z</dcterms:created>
  <dcterms:modified xsi:type="dcterms:W3CDTF">2018-06-07T12:29:00Z</dcterms:modified>
</cp:coreProperties>
</file>